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108.0" w:type="dxa"/>
        <w:tblLayout w:type="fixed"/>
        <w:tblLook w:val="0000"/>
      </w:tblPr>
      <w:tblGrid>
        <w:gridCol w:w="4995"/>
        <w:gridCol w:w="4080"/>
        <w:tblGridChange w:id="0">
          <w:tblGrid>
            <w:gridCol w:w="4995"/>
            <w:gridCol w:w="40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EDITAL DIRBAPE/GERUC/SERVGP N° 04/2026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Rio de Janeiro, 13 de julho de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536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EDITAL DE CADASTRAMENTO DE INSTITUIÇÕES INTERESSADAS EM PARTICIPAR DO PROCESSO DE FORMAÇÃO DO CONSELHO CONSULTIVO DO PARQUE ESTADUAL DA SERRA DA TIRIRICA (PESET)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Este Edital atende às determinações da Lei n° 9.985/2000, que foi regulamentada pelo Decreto n° 4.340/2002, da Lei Estadual n° 3.443/2002 e da NOI-INEA-25.R-0, publicada no Boletim de Serviço INEA nº 100, de 07 de novembro de 2025 , que versam sobre a criação e composição dos Conselhos das Unidades de Conservação Estaduais.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Considerando: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Lei Estadual Nº 1.901 de 29 de novembro de 1991, que cria o Parque Estadual da Serra da Tiririca (PESET)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Decreto Estadual nº 41.266, de 16 de abril de 2008, a Lei Estadual nº 5.079, de 3 de setembro de 2007, e o Decreto Estadual nº 43.913, de 29 de outubro de 2012, que ampliam os limites do PESET;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Lei Federal n° 9.985, de 18 de julho de 2000, em seu art. 15, § 5°, onde é estabelecido que as Unidades de Conservação (UC) da categoria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Parque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contarão com um Conselho Consultivo;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Resolução Inea nº 107, de 5 de fevereiro de 2015, que aprova o Plano de Manejo do PESET;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Portaria INEA/DIRBAPE Nº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setembro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4, que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stabelece 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omposição anterior do Conselho Consultivo 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PESET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dá outras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providências.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o processo de formação do Conselho Consultivo 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PESET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deve ter como premissa o respeito a critérios norteadores construídos coletivamente pelos beneficiários, usuários diretos, demais atores regionais e órgão gestor,</w:t>
      </w:r>
    </w:p>
    <w:p w:rsidR="00000000" w:rsidDel="00000000" w:rsidP="00000000" w:rsidRDefault="00000000" w:rsidRPr="00000000" w14:paraId="00000010">
      <w:pPr>
        <w:spacing w:after="120" w:before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convidamos os representantes de órgãos públicos, entidades não governamentais, instituições de ensino superior e pesquisa, entidades de classe, com atuação comprovada no município de Niterói, Maricá e adjacências a manifestarem o interesse em participar deste processo de eleição, por meio de ofício de requerimento e documentação, que devem ser enviados ou entregues, até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28 de agosto de 2026</w:t>
      </w:r>
      <w:r w:rsidDel="00000000" w:rsidR="00000000" w:rsidRPr="00000000">
        <w:rPr>
          <w:rFonts w:ascii="Arial" w:cs="Arial" w:eastAsia="Arial" w:hAnsi="Arial"/>
          <w:rtl w:val="0"/>
        </w:rPr>
        <w:t xml:space="preserve">, na sede do PESET (Rua Engenheiro Domingos Barbosa, nº4, Recanto, Itaipuaçu) ou no seguinte endereço eletrônico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peserradatiririca@inea.rj.gov.br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120" w:before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assembleia geral de posse do Conselho Consultivo está prevista para o mês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novembro de 2026</w:t>
      </w:r>
      <w:r w:rsidDel="00000000" w:rsidR="00000000" w:rsidRPr="00000000">
        <w:rPr>
          <w:rFonts w:ascii="Arial" w:cs="Arial" w:eastAsia="Arial" w:hAnsi="Arial"/>
          <w:rtl w:val="0"/>
        </w:rPr>
        <w:t xml:space="preserve"> na sede da UC.</w:t>
      </w:r>
    </w:p>
    <w:p w:rsidR="00000000" w:rsidDel="00000000" w:rsidP="00000000" w:rsidRDefault="00000000" w:rsidRPr="00000000" w14:paraId="00000013">
      <w:pPr>
        <w:spacing w:after="120" w:before="12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Esclarecemos que a relação dos documentos necessários, o cronograma do processo, as regras de cadastramento, os formulários e outras informações adicionais podem ser encontradas nos anexos deste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Ressaltamos que somente as instituições que tiverem o seu cadastro deferido e aprovado estarão aptas e habilitadas a participar do processo de formação deste Conselho Consultivo, que ocorrerá conforme cronograma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Colocamo-nos à disposição por meio dos seguintes endereços eletrônicos: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peserradatiririca@inea.rj.gov.br</w:t>
      </w:r>
      <w:r w:rsidDel="00000000" w:rsidR="00000000" w:rsidRPr="00000000">
        <w:rPr>
          <w:rFonts w:ascii="Arial" w:cs="Arial" w:eastAsia="Arial" w:hAnsi="Arial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conselhos.ucs.inea@gmail.com</w:t>
      </w:r>
      <w:r w:rsidDel="00000000" w:rsidR="00000000" w:rsidRPr="00000000">
        <w:rPr>
          <w:rFonts w:ascii="Arial" w:cs="Arial" w:eastAsia="Arial" w:hAnsi="Arial"/>
          <w:rtl w:val="0"/>
        </w:rPr>
        <w:t xml:space="preserve"> e também pessoalmente na sede da UC.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1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Documentos necessários, Cronograma do Processo, Regras de Cadastramento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I – Relação de Documentos: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de Intenção preenchida (Anexo II);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Cópia de Documento de Identidade dos membros titular e suplente;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Ofício timbrado da instituição (ou documento similar) com a indicação dos membros.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Estatuto oficial atualizado da instituição (apenas representantes da sociedade civil);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Extrato de regularidade do CNPJ (apenas representantes da sociedade civil);</w:t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II – Cronograma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Fica estabelecido o seguinte cronograma para o processo de formação do Conselho Consultivo do PESET: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DIVULGAÇÃO do edital para seleção: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13/07/2026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 para CADASTRAMENTO de instituições interessadas: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13/07/2026</w:t>
      </w:r>
      <w:r w:rsidDel="00000000" w:rsidR="00000000" w:rsidRPr="00000000">
        <w:rPr>
          <w:rFonts w:ascii="Arial" w:cs="Arial" w:eastAsia="Arial" w:hAnsi="Arial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28/08/2026</w:t>
      </w:r>
      <w:r w:rsidDel="00000000" w:rsidR="00000000" w:rsidRPr="00000000">
        <w:rPr>
          <w:rFonts w:ascii="Arial" w:cs="Arial" w:eastAsia="Arial" w:hAnsi="Arial"/>
          <w:rtl w:val="0"/>
        </w:rPr>
        <w:t xml:space="preserve"> (a documentação deve ser enviada via e-mail)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Comunicação, pelo INEA, do deferimento ou indeferimento das instituições interessadas: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04/09/2026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POSSE do Conselho Consultivo do PESET (previsão):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novembro/2026.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III – Regras de Cadastramento: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bookmarkStart w:colFirst="0" w:colLast="0" w:name="_heading=h.jkdhwk667gmr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O ofício e os documentos necessários para o requerimento de cadastramento podem ser enviados à sede do PESET (Rua Domingos Mônica Barbosa, nº 4 – Recanto de Itaipuaçu – Maricá – RJ – CEP: 24900-000) no horário normal de atendimento (segunda a sexta-feira, das 8h00 às 17h00).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endereço eletrônico para envio da documentação, descrita na seção I deste edital é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peserradatiririca@inea.rj.gov.br</w:t>
      </w:r>
      <w:r w:rsidDel="00000000" w:rsidR="00000000" w:rsidRPr="00000000">
        <w:rPr>
          <w:rFonts w:ascii="Arial" w:cs="Arial" w:eastAsia="Arial" w:hAnsi="Arial"/>
          <w:rtl w:val="0"/>
        </w:rPr>
        <w:t xml:space="preserve">;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instituição que requerer seu cadastramento é responsável pelas informações prestadas;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Em observância ao disposto no Art. 17, §2° do Decreto n° 4.340, de 22/08/2002, será considerada admissão de instituições reconhecidamente representantes das comunidades tradicionais e com dificuldades de inscrição e/ou regularização de seus CNPJs, mediante devida justificativa;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Ao Chefe do PESET e ao INEA fica reservado o direito de solicitação de informações complementares às instituições candidatas;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Para efeito deste Edital são instituições ambientalistas as Organizações Não-Governamentais (ONGs), sem fins lucrativos, que tenham como objetivo principal, no seu estatuto e por intermédio de suas atividades, a defesa e proteção do meio ambiente;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 deferimento ou indeferimento será comunicado pelo Chefe do PESET ou por servidor por ele designado, mediante manifestação formal até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04/09/2026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constando esta decisão em Ata de reunião de posse do Conselho;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Cada instituição deverá indicar um representante titular e outro suplente;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1"/>
        <w:spacing w:after="120" w:before="12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tbl>
      <w:tblPr>
        <w:tblStyle w:val="Table2"/>
        <w:tblW w:w="9580.0" w:type="dxa"/>
        <w:jc w:val="left"/>
        <w:tblInd w:w="14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320"/>
        <w:gridCol w:w="5260"/>
        <w:tblGridChange w:id="0">
          <w:tblGrid>
            <w:gridCol w:w="4320"/>
            <w:gridCol w:w="5260"/>
          </w:tblGrid>
        </w:tblGridChange>
      </w:tblGrid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before="42" w:line="218" w:lineRule="auto"/>
              <w:ind w:left="108" w:firstLine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Nome da Unidade de Conservação: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before="27" w:line="213" w:lineRule="auto"/>
              <w:ind w:left="108" w:firstLine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Objetivo: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spacing w:before="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00.0" w:type="dxa"/>
        <w:jc w:val="left"/>
        <w:tblInd w:w="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860"/>
        <w:gridCol w:w="860"/>
        <w:gridCol w:w="760"/>
        <w:gridCol w:w="1640"/>
        <w:gridCol w:w="1560"/>
        <w:gridCol w:w="1020"/>
        <w:tblGridChange w:id="0">
          <w:tblGrid>
            <w:gridCol w:w="3860"/>
            <w:gridCol w:w="860"/>
            <w:gridCol w:w="760"/>
            <w:gridCol w:w="1640"/>
            <w:gridCol w:w="1560"/>
            <w:gridCol w:w="1020"/>
          </w:tblGrid>
        </w:tblGridChange>
      </w:tblGrid>
      <w:tr>
        <w:trPr>
          <w:cantSplit w:val="0"/>
          <w:trHeight w:val="219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0">
            <w:pPr>
              <w:widowControl w:val="0"/>
              <w:spacing w:line="200" w:lineRule="auto"/>
              <w:ind w:left="21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Dados da Instituição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6">
            <w:pPr>
              <w:widowControl w:val="0"/>
              <w:spacing w:before="2" w:line="197" w:lineRule="auto"/>
              <w:ind w:left="10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9">
            <w:pPr>
              <w:widowControl w:val="0"/>
              <w:spacing w:before="2" w:line="197" w:lineRule="auto"/>
              <w:ind w:left="9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CNPJ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C">
            <w:pPr>
              <w:widowControl w:val="0"/>
              <w:spacing w:before="7" w:line="192" w:lineRule="auto"/>
              <w:ind w:left="10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Endereço: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widowControl w:val="0"/>
              <w:spacing w:before="7" w:line="192" w:lineRule="auto"/>
              <w:ind w:left="10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CEP: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2">
            <w:pPr>
              <w:widowControl w:val="0"/>
              <w:spacing w:before="12" w:line="207" w:lineRule="auto"/>
              <w:ind w:left="10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Bairro: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4">
            <w:pPr>
              <w:widowControl w:val="0"/>
              <w:spacing w:before="12" w:line="207" w:lineRule="auto"/>
              <w:ind w:left="10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before="12" w:line="207" w:lineRule="auto"/>
              <w:ind w:left="10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UF: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widowControl w:val="0"/>
              <w:spacing w:line="200" w:lineRule="auto"/>
              <w:ind w:left="10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9">
            <w:pPr>
              <w:widowControl w:val="0"/>
              <w:spacing w:line="200" w:lineRule="auto"/>
              <w:ind w:left="112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5E">
      <w:pPr>
        <w:widowControl w:val="0"/>
        <w:spacing w:before="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00.0" w:type="dxa"/>
        <w:jc w:val="left"/>
        <w:tblInd w:w="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320"/>
        <w:gridCol w:w="5380"/>
        <w:tblGridChange w:id="0">
          <w:tblGrid>
            <w:gridCol w:w="4320"/>
            <w:gridCol w:w="5380"/>
          </w:tblGrid>
        </w:tblGridChange>
      </w:tblGrid>
      <w:tr>
        <w:trPr>
          <w:cantSplit w:val="0"/>
          <w:trHeight w:val="229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line="210" w:lineRule="auto"/>
              <w:ind w:left="103" w:firstLine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Setor da Instituição: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line="210" w:lineRule="auto"/>
              <w:ind w:left="102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) Entidades Acadêmicas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line="210" w:lineRule="auto"/>
              <w:ind w:left="10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) Gestores e Administradores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line="210" w:lineRule="auto"/>
              <w:ind w:left="102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) ONG ou OSCIP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line="210" w:lineRule="auto"/>
              <w:ind w:left="10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) Movimentos Sociais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line="210" w:lineRule="auto"/>
              <w:ind w:left="102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) Entidade de Classe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line="190" w:lineRule="auto"/>
              <w:ind w:left="10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) Empresários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line="190" w:lineRule="auto"/>
              <w:ind w:left="102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) Outros:</w:t>
            </w:r>
          </w:p>
        </w:tc>
      </w:tr>
    </w:tbl>
    <w:p w:rsidR="00000000" w:rsidDel="00000000" w:rsidP="00000000" w:rsidRDefault="00000000" w:rsidRPr="00000000" w14:paraId="00000067">
      <w:pPr>
        <w:widowControl w:val="0"/>
        <w:spacing w:before="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00.0" w:type="dxa"/>
        <w:jc w:val="left"/>
        <w:tblInd w:w="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00"/>
        <w:tblGridChange w:id="0">
          <w:tblGrid>
            <w:gridCol w:w="9700"/>
          </w:tblGrid>
        </w:tblGridChange>
      </w:tblGrid>
      <w:tr>
        <w:trPr>
          <w:cantSplit w:val="0"/>
          <w:trHeight w:val="219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spacing w:before="3" w:line="196" w:lineRule="auto"/>
              <w:ind w:left="21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Objetivos da Instituição: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spacing w:before="3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00.0" w:type="dxa"/>
        <w:jc w:val="left"/>
        <w:tblInd w:w="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00"/>
        <w:tblGridChange w:id="0">
          <w:tblGrid>
            <w:gridCol w:w="9700"/>
          </w:tblGrid>
        </w:tblGridChange>
      </w:tblGrid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widowControl w:val="0"/>
              <w:ind w:left="103" w:firstLine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Liste as atividades realizadas pela instituição em parceria com a UC, ou em seu território, no último biênio (apenas sociedade civil)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widowControl w:val="0"/>
        <w:spacing w:before="31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00.0" w:type="dxa"/>
        <w:jc w:val="left"/>
        <w:tblInd w:w="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00"/>
        <w:tblGridChange w:id="0">
          <w:tblGrid>
            <w:gridCol w:w="9700"/>
          </w:tblGrid>
        </w:tblGridChange>
      </w:tblGrid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widowControl w:val="0"/>
              <w:spacing w:before="10" w:line="210" w:lineRule="auto"/>
              <w:ind w:left="21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Por que quer ser membro do Conselho?</w:t>
            </w:r>
          </w:p>
        </w:tc>
      </w:tr>
      <w:tr>
        <w:trPr>
          <w:cantSplit w:val="0"/>
          <w:trHeight w:val="219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widowControl w:val="0"/>
        <w:spacing w:before="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00.0" w:type="dxa"/>
        <w:jc w:val="left"/>
        <w:tblInd w:w="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860"/>
        <w:gridCol w:w="360"/>
        <w:gridCol w:w="1800"/>
        <w:gridCol w:w="540"/>
        <w:gridCol w:w="2120"/>
        <w:gridCol w:w="1020"/>
        <w:tblGridChange w:id="0">
          <w:tblGrid>
            <w:gridCol w:w="3860"/>
            <w:gridCol w:w="360"/>
            <w:gridCol w:w="1800"/>
            <w:gridCol w:w="540"/>
            <w:gridCol w:w="2120"/>
            <w:gridCol w:w="1020"/>
          </w:tblGrid>
        </w:tblGridChange>
      </w:tblGrid>
      <w:tr>
        <w:trPr>
          <w:cantSplit w:val="0"/>
          <w:trHeight w:val="219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6">
            <w:pPr>
              <w:widowControl w:val="0"/>
              <w:spacing w:before="3" w:line="197" w:lineRule="auto"/>
              <w:ind w:left="21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Dados do Representante Titular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C">
            <w:pPr>
              <w:widowControl w:val="0"/>
              <w:spacing w:before="8" w:line="192" w:lineRule="auto"/>
              <w:ind w:left="10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F">
            <w:pPr>
              <w:widowControl w:val="0"/>
              <w:spacing w:before="8" w:line="192" w:lineRule="auto"/>
              <w:ind w:left="9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2">
            <w:pPr>
              <w:widowControl w:val="0"/>
              <w:spacing w:before="13" w:line="207" w:lineRule="auto"/>
              <w:ind w:left="10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Endereço: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widowControl w:val="0"/>
              <w:spacing w:before="13" w:line="207" w:lineRule="auto"/>
              <w:ind w:left="9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CEP: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8">
            <w:pPr>
              <w:widowControl w:val="0"/>
              <w:spacing w:line="200" w:lineRule="auto"/>
              <w:ind w:left="10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Bairro: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A">
            <w:pPr>
              <w:widowControl w:val="0"/>
              <w:spacing w:line="200" w:lineRule="auto"/>
              <w:ind w:left="9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00" w:lineRule="auto"/>
              <w:ind w:left="10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UF: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widowControl w:val="0"/>
              <w:spacing w:before="3" w:line="197" w:lineRule="auto"/>
              <w:ind w:left="10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F">
            <w:pPr>
              <w:widowControl w:val="0"/>
              <w:spacing w:before="3" w:line="197" w:lineRule="auto"/>
              <w:ind w:left="9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widowControl w:val="0"/>
              <w:spacing w:before="8" w:line="192" w:lineRule="auto"/>
              <w:ind w:left="10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Local, Data: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95">
            <w:pPr>
              <w:widowControl w:val="0"/>
              <w:spacing w:before="8" w:line="192" w:lineRule="auto"/>
              <w:ind w:left="9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9A">
      <w:pPr>
        <w:widowControl w:val="0"/>
        <w:spacing w:before="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00.0" w:type="dxa"/>
        <w:jc w:val="left"/>
        <w:tblInd w:w="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860"/>
        <w:gridCol w:w="360"/>
        <w:gridCol w:w="1800"/>
        <w:gridCol w:w="540"/>
        <w:gridCol w:w="2120"/>
        <w:gridCol w:w="1020"/>
        <w:tblGridChange w:id="0">
          <w:tblGrid>
            <w:gridCol w:w="3860"/>
            <w:gridCol w:w="360"/>
            <w:gridCol w:w="1800"/>
            <w:gridCol w:w="540"/>
            <w:gridCol w:w="2120"/>
            <w:gridCol w:w="102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B">
            <w:pPr>
              <w:widowControl w:val="0"/>
              <w:spacing w:before="6" w:line="194" w:lineRule="auto"/>
              <w:ind w:left="21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Dados do Representante Suplente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1">
            <w:pPr>
              <w:widowControl w:val="0"/>
              <w:spacing w:before="11" w:line="209" w:lineRule="auto"/>
              <w:ind w:left="103" w:firstLine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4">
            <w:pPr>
              <w:widowControl w:val="0"/>
              <w:spacing w:before="11" w:line="209" w:lineRule="auto"/>
              <w:ind w:left="97" w:firstLine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7">
            <w:pPr>
              <w:widowControl w:val="0"/>
              <w:spacing w:line="200" w:lineRule="auto"/>
              <w:ind w:left="10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Endereço: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B">
            <w:pPr>
              <w:widowControl w:val="0"/>
              <w:spacing w:line="200" w:lineRule="auto"/>
              <w:ind w:left="9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CEP: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D">
            <w:pPr>
              <w:widowControl w:val="0"/>
              <w:spacing w:before="1" w:line="199" w:lineRule="auto"/>
              <w:ind w:left="10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Bairro: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F">
            <w:pPr>
              <w:widowControl w:val="0"/>
              <w:spacing w:before="1" w:line="199" w:lineRule="auto"/>
              <w:ind w:left="9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before="1" w:line="199" w:lineRule="auto"/>
              <w:ind w:left="10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UF: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widowControl w:val="0"/>
              <w:spacing w:before="6" w:line="194" w:lineRule="auto"/>
              <w:ind w:left="10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Telefone: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4">
            <w:pPr>
              <w:widowControl w:val="0"/>
              <w:spacing w:before="6" w:line="194" w:lineRule="auto"/>
              <w:ind w:left="9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widowControl w:val="0"/>
              <w:spacing w:before="11" w:line="209" w:lineRule="auto"/>
              <w:ind w:left="10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Local, Data: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A">
            <w:pPr>
              <w:widowControl w:val="0"/>
              <w:spacing w:before="11" w:line="209" w:lineRule="auto"/>
              <w:ind w:left="9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BF">
      <w:pPr>
        <w:widowControl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1418" w:left="1418" w:right="1418" w:header="357" w:footer="11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mbria" w:cs="Cambria" w:eastAsia="Cambria" w:hAnsi="Cambria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u w:val="single"/>
      </w:rPr>
      <w:drawing>
        <wp:inline distB="0" distT="0" distL="114300" distR="114300">
          <wp:extent cx="5391150" cy="56007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1150" cy="5600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rFonts w:ascii="Cambria" w:cs="Cambria" w:eastAsia="Cambria" w:hAnsi="Cambria"/>
        <w:color w:val="000000"/>
        <w:sz w:val="20"/>
        <w:szCs w:val="20"/>
        <w:rtl w:val="0"/>
      </w:rPr>
      <w:t xml:space="preserve">Avenida Venezuela, 110 – Saúde – Rio de Janeiro - RJ-CEP: 20081-312 – Tel.: (21) 2332-5519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jc w:val="center"/>
      <w:rPr/>
    </w:pPr>
    <w:hyperlink r:id="rId2">
      <w:r w:rsidDel="00000000" w:rsidR="00000000" w:rsidRPr="00000000">
        <w:rPr>
          <w:rFonts w:ascii="Cambria" w:cs="Cambria" w:eastAsia="Cambria" w:hAnsi="Cambria"/>
          <w:color w:val="0000ff"/>
          <w:sz w:val="20"/>
          <w:szCs w:val="20"/>
          <w:u w:val="single"/>
          <w:rtl w:val="0"/>
        </w:rPr>
        <w:t xml:space="preserve">www.inea.rj.gov.br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jc w:val="center"/>
      <w:rPr>
        <w:sz w:val="20"/>
        <w:szCs w:val="20"/>
      </w:rPr>
    </w:pPr>
    <w:r w:rsidDel="00000000" w:rsidR="00000000" w:rsidRPr="00000000">
      <w:rPr/>
      <w:drawing>
        <wp:inline distB="0" distT="0" distL="0" distR="0">
          <wp:extent cx="445135" cy="556895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-38" l="-49" r="-49" t="-40"/>
                  <a:stretch>
                    <a:fillRect/>
                  </a:stretch>
                </pic:blipFill>
                <pic:spPr>
                  <a:xfrm>
                    <a:off x="0" y="0"/>
                    <a:ext cx="445135" cy="5568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jc w:val="center"/>
      <w:rPr/>
    </w:pPr>
    <w:r w:rsidDel="00000000" w:rsidR="00000000" w:rsidRPr="00000000">
      <w:rPr>
        <w:sz w:val="20"/>
        <w:szCs w:val="20"/>
        <w:rtl w:val="0"/>
      </w:rPr>
      <w:t xml:space="preserve">GOVERNO DO 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jc w:val="center"/>
      <w:rPr/>
    </w:pPr>
    <w:r w:rsidDel="00000000" w:rsidR="00000000" w:rsidRPr="00000000">
      <w:rPr>
        <w:sz w:val="20"/>
        <w:szCs w:val="20"/>
        <w:rtl w:val="0"/>
      </w:rPr>
      <w:t xml:space="preserve">SECRETARIA DE ESTADO DO AMBIENTE E SUSTENTABILIDADE – SEAS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jc w:val="center"/>
      <w:rPr/>
    </w:pPr>
    <w:r w:rsidDel="00000000" w:rsidR="00000000" w:rsidRPr="00000000">
      <w:rPr>
        <w:sz w:val="20"/>
        <w:szCs w:val="20"/>
        <w:rtl w:val="0"/>
      </w:rPr>
      <w:t xml:space="preserve">INSTITUTO ESTADUAL DO AMBIENTE – INEA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jc w:val="center"/>
      <w:rPr/>
    </w:pPr>
    <w:r w:rsidDel="00000000" w:rsidR="00000000" w:rsidRPr="00000000">
      <w:rPr>
        <w:sz w:val="20"/>
        <w:szCs w:val="20"/>
        <w:rtl w:val="0"/>
      </w:rPr>
      <w:t xml:space="preserve">DIRETORIA DE BIODIVERSIDADE, ÁREAS PROTEGIDAS E ECOSSISTEMAS – DIRBAPE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spacing w:after="60" w:before="240" w:lineRule="auto"/>
      <w:ind w:left="0" w:hanging="1"/>
    </w:pPr>
    <w:rPr>
      <w:rFonts w:ascii="Calibri" w:cs="Calibri" w:eastAsia="Calibri" w:hAnsi="Calibri"/>
      <w:b w:val="1"/>
      <w:bCs w:val="1"/>
      <w:i w:val="1"/>
      <w:iCs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inea.rj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i5DM7yTvv2IfSNgbT1o7toZoRg==">CgMxLjAyDmguamtkaHdrNjY3Z21yOAByITFGZzBCMEtLS3ZmV201c1lEQWtxMmF3VUdQNnV2enB4Vw==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